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E6B32" w14:textId="53046615" w:rsidR="00913EE8" w:rsidRPr="00913EE8" w:rsidRDefault="00913EE8" w:rsidP="00913EE8">
      <w:pPr>
        <w:pStyle w:val="Heading1"/>
      </w:pPr>
      <w:r>
        <w:t xml:space="preserve">Wren’s Nursery </w:t>
      </w:r>
      <w:r w:rsidRPr="00913EE8">
        <w:t xml:space="preserve">Disqualified Persons Procedure </w:t>
      </w:r>
    </w:p>
    <w:p w14:paraId="3CB345C4" w14:textId="77777777" w:rsidR="00913EE8" w:rsidRPr="00913EE8" w:rsidRDefault="00913EE8" w:rsidP="00913EE8">
      <w:pPr>
        <w:pStyle w:val="Heading2"/>
      </w:pPr>
      <w:r w:rsidRPr="00913EE8">
        <w:t>1. Purpose of this Procedure</w:t>
      </w:r>
    </w:p>
    <w:p w14:paraId="4488398F" w14:textId="77777777" w:rsidR="00913EE8" w:rsidRPr="00913EE8" w:rsidRDefault="00913EE8" w:rsidP="00913EE8">
      <w:r w:rsidRPr="00913EE8">
        <w:t xml:space="preserve">This procedure sets out how Wren’s Nursery ensures that no individual who is disqualified from childcare works in, manages, or is otherwise involved in the provision of early years care. It reflects the Childcare Act 2006, the Childcare (Disqualification) Regulations 2018, and the statutory Early Years Foundation Stage (EYFS) requirements. </w:t>
      </w:r>
    </w:p>
    <w:p w14:paraId="3914F61F" w14:textId="77777777" w:rsidR="00913EE8" w:rsidRPr="00913EE8" w:rsidRDefault="00913EE8" w:rsidP="00913EE8">
      <w:pPr>
        <w:pStyle w:val="Heading2"/>
      </w:pPr>
      <w:r w:rsidRPr="00913EE8">
        <w:t>2. Legal Framework</w:t>
      </w:r>
    </w:p>
    <w:p w14:paraId="7432CE90" w14:textId="77777777" w:rsidR="00913EE8" w:rsidRPr="00913EE8" w:rsidRDefault="00913EE8" w:rsidP="00913EE8">
      <w:r w:rsidRPr="00913EE8">
        <w:t>This procedure is based on the following legislation and statutory guidance:</w:t>
      </w:r>
    </w:p>
    <w:p w14:paraId="5C2B5934" w14:textId="77777777" w:rsidR="00913EE8" w:rsidRPr="00913EE8" w:rsidRDefault="00913EE8" w:rsidP="00913EE8">
      <w:pPr>
        <w:numPr>
          <w:ilvl w:val="0"/>
          <w:numId w:val="1"/>
        </w:numPr>
      </w:pPr>
      <w:r w:rsidRPr="00913EE8">
        <w:rPr>
          <w:b/>
          <w:bCs/>
        </w:rPr>
        <w:t>Childcare Act 2006 (sections 75–76)</w:t>
      </w:r>
    </w:p>
    <w:p w14:paraId="060A1981" w14:textId="77777777" w:rsidR="00913EE8" w:rsidRPr="00913EE8" w:rsidRDefault="00913EE8" w:rsidP="00913EE8">
      <w:pPr>
        <w:numPr>
          <w:ilvl w:val="0"/>
          <w:numId w:val="1"/>
        </w:numPr>
      </w:pPr>
      <w:r w:rsidRPr="00913EE8">
        <w:rPr>
          <w:b/>
          <w:bCs/>
        </w:rPr>
        <w:t>Childcare (Disqualification) Regulations 2009 and 2018 amendments</w:t>
      </w:r>
    </w:p>
    <w:p w14:paraId="4C8115C5" w14:textId="77777777" w:rsidR="00913EE8" w:rsidRPr="00913EE8" w:rsidRDefault="00913EE8" w:rsidP="00913EE8">
      <w:pPr>
        <w:numPr>
          <w:ilvl w:val="0"/>
          <w:numId w:val="1"/>
        </w:numPr>
      </w:pPr>
      <w:r w:rsidRPr="00913EE8">
        <w:rPr>
          <w:b/>
          <w:bCs/>
        </w:rPr>
        <w:t>Safeguarding Vulnerable Groups Act 2006</w:t>
      </w:r>
    </w:p>
    <w:p w14:paraId="0F2D1158" w14:textId="77777777" w:rsidR="00913EE8" w:rsidRPr="00913EE8" w:rsidRDefault="00913EE8" w:rsidP="00913EE8">
      <w:pPr>
        <w:numPr>
          <w:ilvl w:val="0"/>
          <w:numId w:val="1"/>
        </w:numPr>
      </w:pPr>
      <w:r w:rsidRPr="00913EE8">
        <w:rPr>
          <w:b/>
          <w:bCs/>
        </w:rPr>
        <w:t>Statutory Framework for the Early Years Foundation Stage (EYFS)</w:t>
      </w:r>
    </w:p>
    <w:p w14:paraId="4EFF0A3A" w14:textId="77777777" w:rsidR="00913EE8" w:rsidRPr="00913EE8" w:rsidRDefault="00913EE8" w:rsidP="00913EE8">
      <w:pPr>
        <w:numPr>
          <w:ilvl w:val="0"/>
          <w:numId w:val="1"/>
        </w:numPr>
      </w:pPr>
      <w:r w:rsidRPr="00913EE8">
        <w:rPr>
          <w:b/>
          <w:bCs/>
        </w:rPr>
        <w:t>Ofsted requirements for reporting disqualification</w:t>
      </w:r>
      <w:r w:rsidRPr="00913EE8">
        <w:t xml:space="preserve"> </w:t>
      </w:r>
    </w:p>
    <w:p w14:paraId="293821D2" w14:textId="77777777" w:rsidR="00913EE8" w:rsidRPr="00913EE8" w:rsidRDefault="00913EE8" w:rsidP="00913EE8">
      <w:pPr>
        <w:pStyle w:val="Heading2"/>
      </w:pPr>
      <w:r w:rsidRPr="00913EE8">
        <w:t>3. Individuals Covered by Disqualification Requirements</w:t>
      </w:r>
    </w:p>
    <w:p w14:paraId="69764B74" w14:textId="77777777" w:rsidR="00913EE8" w:rsidRPr="00913EE8" w:rsidRDefault="00913EE8" w:rsidP="00913EE8">
      <w:r w:rsidRPr="00913EE8">
        <w:t>Wren’s Nursery must ensure that the following individuals are not disqualified from childcare:</w:t>
      </w:r>
    </w:p>
    <w:p w14:paraId="7A399CFE" w14:textId="77777777" w:rsidR="00913EE8" w:rsidRPr="00913EE8" w:rsidRDefault="00913EE8" w:rsidP="00913EE8">
      <w:pPr>
        <w:numPr>
          <w:ilvl w:val="0"/>
          <w:numId w:val="2"/>
        </w:numPr>
      </w:pPr>
      <w:r w:rsidRPr="00913EE8">
        <w:t>Staff employed by the nursery</w:t>
      </w:r>
    </w:p>
    <w:p w14:paraId="0F48C625" w14:textId="77777777" w:rsidR="00913EE8" w:rsidRPr="00913EE8" w:rsidRDefault="00913EE8" w:rsidP="00913EE8">
      <w:pPr>
        <w:numPr>
          <w:ilvl w:val="0"/>
          <w:numId w:val="2"/>
        </w:numPr>
      </w:pPr>
      <w:r w:rsidRPr="00913EE8">
        <w:t>Volunteers working directly with children</w:t>
      </w:r>
    </w:p>
    <w:p w14:paraId="75E6354E" w14:textId="77777777" w:rsidR="00913EE8" w:rsidRPr="00913EE8" w:rsidRDefault="00913EE8" w:rsidP="00913EE8">
      <w:pPr>
        <w:numPr>
          <w:ilvl w:val="0"/>
          <w:numId w:val="2"/>
        </w:numPr>
      </w:pPr>
      <w:r w:rsidRPr="00913EE8">
        <w:t>Individuals involved in the management of the nursery</w:t>
      </w:r>
    </w:p>
    <w:p w14:paraId="1B97F690" w14:textId="77777777" w:rsidR="00913EE8" w:rsidRPr="00913EE8" w:rsidRDefault="00913EE8" w:rsidP="00913EE8">
      <w:pPr>
        <w:numPr>
          <w:ilvl w:val="0"/>
          <w:numId w:val="2"/>
        </w:numPr>
      </w:pPr>
      <w:r w:rsidRPr="00913EE8">
        <w:t>Anyone living or working on the premises where childcare is provided (if applicable)</w:t>
      </w:r>
    </w:p>
    <w:p w14:paraId="2FDAA44A" w14:textId="77777777" w:rsidR="00913EE8" w:rsidRPr="00913EE8" w:rsidRDefault="00913EE8" w:rsidP="00913EE8">
      <w:r w:rsidRPr="00913EE8">
        <w:rPr>
          <w:b/>
          <w:bCs/>
        </w:rPr>
        <w:t>Note:</w:t>
      </w:r>
      <w:r w:rsidRPr="00913EE8">
        <w:t xml:space="preserve"> Disqualification by association no longer applies to staff in schools or nurseries; it applies only to domestic childcare settings. </w:t>
      </w:r>
    </w:p>
    <w:p w14:paraId="71DD8AA3" w14:textId="77777777" w:rsidR="00913EE8" w:rsidRPr="00913EE8" w:rsidRDefault="00913EE8" w:rsidP="00913EE8">
      <w:pPr>
        <w:pStyle w:val="Heading2"/>
      </w:pPr>
      <w:r w:rsidRPr="00913EE8">
        <w:t>4. Grounds for Disqualification</w:t>
      </w:r>
    </w:p>
    <w:p w14:paraId="5B1C94A9" w14:textId="77777777" w:rsidR="00913EE8" w:rsidRPr="00913EE8" w:rsidRDefault="00913EE8" w:rsidP="00913EE8">
      <w:r w:rsidRPr="00913EE8">
        <w:t>A person may be disqualified if they:</w:t>
      </w:r>
    </w:p>
    <w:p w14:paraId="72800490" w14:textId="77777777" w:rsidR="00913EE8" w:rsidRPr="00913EE8" w:rsidRDefault="00913EE8" w:rsidP="00913EE8">
      <w:pPr>
        <w:numPr>
          <w:ilvl w:val="0"/>
          <w:numId w:val="3"/>
        </w:numPr>
      </w:pPr>
      <w:r w:rsidRPr="00913EE8">
        <w:t>Have certain criminal convictions or cautions relating to offences against children or vulnerable adults</w:t>
      </w:r>
    </w:p>
    <w:p w14:paraId="343BFB1B" w14:textId="77777777" w:rsidR="00913EE8" w:rsidRPr="00913EE8" w:rsidRDefault="00913EE8" w:rsidP="00913EE8">
      <w:pPr>
        <w:numPr>
          <w:ilvl w:val="0"/>
          <w:numId w:val="3"/>
        </w:numPr>
      </w:pPr>
      <w:r w:rsidRPr="00913EE8">
        <w:t xml:space="preserve">Are on the </w:t>
      </w:r>
      <w:r w:rsidRPr="00913EE8">
        <w:rPr>
          <w:b/>
          <w:bCs/>
        </w:rPr>
        <w:t>Children’s Barred List</w:t>
      </w:r>
    </w:p>
    <w:p w14:paraId="7C1CF8C5" w14:textId="77777777" w:rsidR="00913EE8" w:rsidRPr="00913EE8" w:rsidRDefault="00913EE8" w:rsidP="00913EE8">
      <w:pPr>
        <w:numPr>
          <w:ilvl w:val="0"/>
          <w:numId w:val="3"/>
        </w:numPr>
      </w:pPr>
      <w:r w:rsidRPr="00913EE8">
        <w:t>Have had a child removed from their care or are subject to certain care orders</w:t>
      </w:r>
    </w:p>
    <w:p w14:paraId="7E80A615" w14:textId="77777777" w:rsidR="00913EE8" w:rsidRPr="00913EE8" w:rsidRDefault="00913EE8" w:rsidP="00913EE8">
      <w:pPr>
        <w:numPr>
          <w:ilvl w:val="0"/>
          <w:numId w:val="3"/>
        </w:numPr>
      </w:pPr>
      <w:r w:rsidRPr="00913EE8">
        <w:t>Have been disqualified from private fostering</w:t>
      </w:r>
    </w:p>
    <w:p w14:paraId="28707209" w14:textId="77777777" w:rsidR="00913EE8" w:rsidRPr="00913EE8" w:rsidRDefault="00913EE8" w:rsidP="00913EE8">
      <w:pPr>
        <w:numPr>
          <w:ilvl w:val="0"/>
          <w:numId w:val="3"/>
        </w:numPr>
      </w:pPr>
      <w:r w:rsidRPr="00913EE8">
        <w:t xml:space="preserve">Have been refused registration as a childcare provider or had registration cancelled </w:t>
      </w:r>
    </w:p>
    <w:p w14:paraId="7CD3873A" w14:textId="77777777" w:rsidR="00913EE8" w:rsidRPr="00913EE8" w:rsidRDefault="00913EE8" w:rsidP="00913EE8">
      <w:pPr>
        <w:pStyle w:val="Heading2"/>
      </w:pPr>
      <w:r w:rsidRPr="00913EE8">
        <w:lastRenderedPageBreak/>
        <w:t>5. Duty to Notify Ofsted</w:t>
      </w:r>
    </w:p>
    <w:p w14:paraId="59F7B29B" w14:textId="77777777" w:rsidR="00913EE8" w:rsidRPr="00913EE8" w:rsidRDefault="00913EE8" w:rsidP="00913EE8">
      <w:r w:rsidRPr="00913EE8">
        <w:t xml:space="preserve">Wren’s Nursery must notify Ofsted </w:t>
      </w:r>
      <w:r w:rsidRPr="00913EE8">
        <w:rPr>
          <w:b/>
          <w:bCs/>
        </w:rPr>
        <w:t>as soon as reasonably practicable</w:t>
      </w:r>
      <w:r w:rsidRPr="00913EE8">
        <w:t xml:space="preserve">, and </w:t>
      </w:r>
      <w:r w:rsidRPr="00913EE8">
        <w:rPr>
          <w:b/>
          <w:bCs/>
        </w:rPr>
        <w:t>within 14 days</w:t>
      </w:r>
      <w:r w:rsidRPr="00913EE8">
        <w:t>, if it becomes aware that any person working in or connected to the setting:</w:t>
      </w:r>
    </w:p>
    <w:p w14:paraId="0E8BCBF0" w14:textId="77777777" w:rsidR="00913EE8" w:rsidRPr="00913EE8" w:rsidRDefault="00913EE8" w:rsidP="00913EE8">
      <w:pPr>
        <w:numPr>
          <w:ilvl w:val="0"/>
          <w:numId w:val="4"/>
        </w:numPr>
      </w:pPr>
      <w:r w:rsidRPr="00913EE8">
        <w:rPr>
          <w:b/>
          <w:bCs/>
        </w:rPr>
        <w:t>Is disqualified</w:t>
      </w:r>
      <w:r w:rsidRPr="00913EE8">
        <w:t>, or</w:t>
      </w:r>
    </w:p>
    <w:p w14:paraId="241B71AF" w14:textId="77777777" w:rsidR="00913EE8" w:rsidRPr="00913EE8" w:rsidRDefault="00913EE8" w:rsidP="00913EE8">
      <w:pPr>
        <w:numPr>
          <w:ilvl w:val="0"/>
          <w:numId w:val="4"/>
        </w:numPr>
      </w:pPr>
      <w:r w:rsidRPr="00913EE8">
        <w:rPr>
          <w:b/>
          <w:bCs/>
        </w:rPr>
        <w:t>Lives in the same household as a disqualified person</w:t>
      </w:r>
      <w:r w:rsidRPr="00913EE8">
        <w:t xml:space="preserve"> (only relevant for domestic childcare settings)</w:t>
      </w:r>
    </w:p>
    <w:p w14:paraId="4BE50297" w14:textId="77777777" w:rsidR="00913EE8" w:rsidRPr="00913EE8" w:rsidRDefault="00913EE8" w:rsidP="00913EE8">
      <w:r w:rsidRPr="00913EE8">
        <w:t>The following information must be provided to Ofsted:</w:t>
      </w:r>
    </w:p>
    <w:p w14:paraId="2BA147A7" w14:textId="77777777" w:rsidR="00913EE8" w:rsidRPr="00913EE8" w:rsidRDefault="00913EE8" w:rsidP="00913EE8">
      <w:pPr>
        <w:numPr>
          <w:ilvl w:val="0"/>
          <w:numId w:val="5"/>
        </w:numPr>
      </w:pPr>
      <w:r w:rsidRPr="00913EE8">
        <w:t>Details of the order, determination, conviction, or other ground for disqualification</w:t>
      </w:r>
    </w:p>
    <w:p w14:paraId="6546A19D" w14:textId="77777777" w:rsidR="00913EE8" w:rsidRPr="00913EE8" w:rsidRDefault="00913EE8" w:rsidP="00913EE8">
      <w:pPr>
        <w:numPr>
          <w:ilvl w:val="0"/>
          <w:numId w:val="5"/>
        </w:numPr>
      </w:pPr>
      <w:r w:rsidRPr="00913EE8">
        <w:t>The date of the order, determination, or conviction, and any sentence imposed</w:t>
      </w:r>
    </w:p>
    <w:p w14:paraId="61B2FCF8" w14:textId="77777777" w:rsidR="00913EE8" w:rsidRPr="00913EE8" w:rsidRDefault="00913EE8" w:rsidP="00913EE8">
      <w:pPr>
        <w:numPr>
          <w:ilvl w:val="0"/>
          <w:numId w:val="5"/>
        </w:numPr>
      </w:pPr>
      <w:r w:rsidRPr="00913EE8">
        <w:t xml:space="preserve">A certified copy of the relevant order (where applicable) </w:t>
      </w:r>
    </w:p>
    <w:p w14:paraId="2A9F9661" w14:textId="77777777" w:rsidR="00913EE8" w:rsidRPr="00913EE8" w:rsidRDefault="00913EE8" w:rsidP="00913EE8">
      <w:pPr>
        <w:pStyle w:val="Heading2"/>
      </w:pPr>
      <w:r w:rsidRPr="00913EE8">
        <w:t>6. Staff Disclosure Requirements</w:t>
      </w:r>
    </w:p>
    <w:p w14:paraId="4758CA60" w14:textId="77777777" w:rsidR="00913EE8" w:rsidRPr="00913EE8" w:rsidRDefault="00913EE8" w:rsidP="00913EE8">
      <w:r w:rsidRPr="00913EE8">
        <w:t>All staff must:</w:t>
      </w:r>
    </w:p>
    <w:p w14:paraId="34589520" w14:textId="77777777" w:rsidR="00913EE8" w:rsidRPr="00913EE8" w:rsidRDefault="00913EE8" w:rsidP="00913EE8">
      <w:pPr>
        <w:numPr>
          <w:ilvl w:val="0"/>
          <w:numId w:val="6"/>
        </w:numPr>
      </w:pPr>
      <w:r w:rsidRPr="00913EE8">
        <w:t>Complete a staff suitability declaration on appointment</w:t>
      </w:r>
    </w:p>
    <w:p w14:paraId="455DB4B5" w14:textId="77777777" w:rsidR="00913EE8" w:rsidRPr="00913EE8" w:rsidRDefault="00913EE8" w:rsidP="00913EE8">
      <w:pPr>
        <w:numPr>
          <w:ilvl w:val="0"/>
          <w:numId w:val="6"/>
        </w:numPr>
      </w:pPr>
      <w:r w:rsidRPr="00913EE8">
        <w:t>Immediately disclose any circumstances that may lead to disqualification</w:t>
      </w:r>
    </w:p>
    <w:p w14:paraId="36EA538E" w14:textId="77777777" w:rsidR="00913EE8" w:rsidRPr="00913EE8" w:rsidRDefault="00913EE8" w:rsidP="00913EE8">
      <w:pPr>
        <w:numPr>
          <w:ilvl w:val="0"/>
          <w:numId w:val="6"/>
        </w:numPr>
      </w:pPr>
      <w:r w:rsidRPr="00913EE8">
        <w:t xml:space="preserve">Inform the Manager of any changes in their household circumstances </w:t>
      </w:r>
      <w:r w:rsidRPr="00913EE8">
        <w:rPr>
          <w:b/>
          <w:bCs/>
        </w:rPr>
        <w:t>only if working in a domestic childcare setting</w:t>
      </w:r>
      <w:r w:rsidRPr="00913EE8">
        <w:t xml:space="preserve"> (not applicable to nurseries) </w:t>
      </w:r>
    </w:p>
    <w:p w14:paraId="56943338" w14:textId="77777777" w:rsidR="00913EE8" w:rsidRPr="00913EE8" w:rsidRDefault="00913EE8" w:rsidP="00913EE8">
      <w:pPr>
        <w:pStyle w:val="Heading2"/>
      </w:pPr>
      <w:r w:rsidRPr="00913EE8">
        <w:t>7. Ofsted Waiver Process</w:t>
      </w:r>
    </w:p>
    <w:p w14:paraId="0E7DD3DF" w14:textId="77777777" w:rsidR="00913EE8" w:rsidRPr="00913EE8" w:rsidRDefault="00913EE8" w:rsidP="00913EE8">
      <w:r w:rsidRPr="00913EE8">
        <w:t xml:space="preserve">If a staff member is disqualified, they may apply to Ofsted for a </w:t>
      </w:r>
      <w:r w:rsidRPr="00913EE8">
        <w:rPr>
          <w:b/>
          <w:bCs/>
        </w:rPr>
        <w:t>disqualification waiver</w:t>
      </w:r>
      <w:r w:rsidRPr="00913EE8">
        <w:t xml:space="preserve">. The staff member </w:t>
      </w:r>
      <w:r w:rsidRPr="00913EE8">
        <w:rPr>
          <w:b/>
          <w:bCs/>
        </w:rPr>
        <w:t>must not</w:t>
      </w:r>
      <w:r w:rsidRPr="00913EE8">
        <w:t xml:space="preserve"> work in the nursery until a waiver is granted. </w:t>
      </w:r>
    </w:p>
    <w:p w14:paraId="0C35D467" w14:textId="77777777" w:rsidR="00913EE8" w:rsidRPr="00913EE8" w:rsidRDefault="00913EE8" w:rsidP="00913EE8">
      <w:pPr>
        <w:pStyle w:val="Heading2"/>
      </w:pPr>
      <w:r w:rsidRPr="00913EE8">
        <w:t>8. Duty to Refer to the Disclosure and Barring Service (DBS)</w:t>
      </w:r>
    </w:p>
    <w:p w14:paraId="0822245A" w14:textId="77777777" w:rsidR="00913EE8" w:rsidRPr="00913EE8" w:rsidRDefault="00913EE8" w:rsidP="00913EE8">
      <w:r w:rsidRPr="00913EE8">
        <w:t xml:space="preserve">Under the </w:t>
      </w:r>
      <w:r w:rsidRPr="00913EE8">
        <w:rPr>
          <w:b/>
          <w:bCs/>
        </w:rPr>
        <w:t>Safeguarding Vulnerable Groups Act 2006</w:t>
      </w:r>
      <w:r w:rsidRPr="00913EE8">
        <w:t>, Wren’s Nursery must make a referral to the DBS if:</w:t>
      </w:r>
    </w:p>
    <w:p w14:paraId="20D93543" w14:textId="77777777" w:rsidR="00913EE8" w:rsidRPr="00913EE8" w:rsidRDefault="00913EE8" w:rsidP="00913EE8">
      <w:pPr>
        <w:numPr>
          <w:ilvl w:val="0"/>
          <w:numId w:val="7"/>
        </w:numPr>
      </w:pPr>
      <w:r w:rsidRPr="00913EE8">
        <w:t>A staff member is dismissed, or</w:t>
      </w:r>
    </w:p>
    <w:p w14:paraId="47DD1764" w14:textId="77777777" w:rsidR="00913EE8" w:rsidRPr="00913EE8" w:rsidRDefault="00913EE8" w:rsidP="00913EE8">
      <w:pPr>
        <w:numPr>
          <w:ilvl w:val="0"/>
          <w:numId w:val="7"/>
        </w:numPr>
      </w:pPr>
      <w:r w:rsidRPr="00913EE8">
        <w:t xml:space="preserve">The nursery would have dismissed them had they not resigned, </w:t>
      </w:r>
      <w:r w:rsidRPr="00913EE8">
        <w:rPr>
          <w:b/>
          <w:bCs/>
        </w:rPr>
        <w:t>because they harmed a child or placed a child at risk of harm.</w:t>
      </w:r>
      <w:r w:rsidRPr="00913EE8">
        <w:t xml:space="preserve"> </w:t>
      </w:r>
    </w:p>
    <w:p w14:paraId="07D73F2F" w14:textId="77777777" w:rsidR="00913EE8" w:rsidRPr="00913EE8" w:rsidRDefault="00913EE8" w:rsidP="00913EE8">
      <w:r w:rsidRPr="00913EE8">
        <w:t>This is a legal requirement and applies even if the incident occurred outside the nursery.</w:t>
      </w:r>
    </w:p>
    <w:p w14:paraId="679F981B" w14:textId="77777777" w:rsidR="00913EE8" w:rsidRPr="00913EE8" w:rsidRDefault="00913EE8" w:rsidP="00913EE8">
      <w:pPr>
        <w:pStyle w:val="Heading2"/>
      </w:pPr>
      <w:r w:rsidRPr="00913EE8">
        <w:t>9. Suspension and Risk Assessment</w:t>
      </w:r>
    </w:p>
    <w:p w14:paraId="709B4030" w14:textId="77777777" w:rsidR="00913EE8" w:rsidRPr="00913EE8" w:rsidRDefault="00913EE8" w:rsidP="00913EE8">
      <w:r w:rsidRPr="00913EE8">
        <w:t>If a concern arises that a staff member may be disqualified:</w:t>
      </w:r>
    </w:p>
    <w:p w14:paraId="0EFA5F5C" w14:textId="77777777" w:rsidR="00913EE8" w:rsidRPr="00913EE8" w:rsidRDefault="00913EE8" w:rsidP="00913EE8">
      <w:pPr>
        <w:numPr>
          <w:ilvl w:val="0"/>
          <w:numId w:val="8"/>
        </w:numPr>
      </w:pPr>
      <w:r w:rsidRPr="00913EE8">
        <w:t xml:space="preserve">They will be </w:t>
      </w:r>
      <w:r w:rsidRPr="00913EE8">
        <w:rPr>
          <w:b/>
          <w:bCs/>
        </w:rPr>
        <w:t>immediately suspended</w:t>
      </w:r>
      <w:r w:rsidRPr="00913EE8">
        <w:t xml:space="preserve"> pending investigation</w:t>
      </w:r>
    </w:p>
    <w:p w14:paraId="362911E2" w14:textId="77777777" w:rsidR="00913EE8" w:rsidRPr="00913EE8" w:rsidRDefault="00913EE8" w:rsidP="00913EE8">
      <w:pPr>
        <w:numPr>
          <w:ilvl w:val="0"/>
          <w:numId w:val="8"/>
        </w:numPr>
      </w:pPr>
      <w:r w:rsidRPr="00913EE8">
        <w:t xml:space="preserve">A </w:t>
      </w:r>
      <w:r w:rsidRPr="00913EE8">
        <w:rPr>
          <w:b/>
          <w:bCs/>
        </w:rPr>
        <w:t>risk assessment</w:t>
      </w:r>
      <w:r w:rsidRPr="00913EE8">
        <w:t xml:space="preserve"> will be completed</w:t>
      </w:r>
    </w:p>
    <w:p w14:paraId="609FCD30" w14:textId="77777777" w:rsidR="00913EE8" w:rsidRPr="00913EE8" w:rsidRDefault="00913EE8" w:rsidP="00913EE8">
      <w:pPr>
        <w:numPr>
          <w:ilvl w:val="0"/>
          <w:numId w:val="8"/>
        </w:numPr>
      </w:pPr>
      <w:r w:rsidRPr="00913EE8">
        <w:t>Ofsted will be notified within the required timeframe</w:t>
      </w:r>
    </w:p>
    <w:p w14:paraId="6D8F8C37" w14:textId="77777777" w:rsidR="00913EE8" w:rsidRPr="00913EE8" w:rsidRDefault="00913EE8" w:rsidP="00913EE8">
      <w:pPr>
        <w:numPr>
          <w:ilvl w:val="0"/>
          <w:numId w:val="8"/>
        </w:numPr>
      </w:pPr>
      <w:r w:rsidRPr="00913EE8">
        <w:t>The staff member will be informed of their right to apply for a waiver</w:t>
      </w:r>
    </w:p>
    <w:p w14:paraId="37031BC2" w14:textId="77777777" w:rsidR="00913EE8" w:rsidRPr="00913EE8" w:rsidRDefault="00913EE8" w:rsidP="00913EE8">
      <w:pPr>
        <w:pStyle w:val="Heading2"/>
      </w:pPr>
      <w:r w:rsidRPr="00913EE8">
        <w:lastRenderedPageBreak/>
        <w:t>10. Record Keeping</w:t>
      </w:r>
    </w:p>
    <w:p w14:paraId="0D4CAC09" w14:textId="77777777" w:rsidR="00913EE8" w:rsidRPr="00913EE8" w:rsidRDefault="00913EE8" w:rsidP="00913EE8">
      <w:r w:rsidRPr="00913EE8">
        <w:t>Wren’s Nursery will maintain secure records of:</w:t>
      </w:r>
    </w:p>
    <w:p w14:paraId="51707E7B" w14:textId="77777777" w:rsidR="00913EE8" w:rsidRPr="00913EE8" w:rsidRDefault="00913EE8" w:rsidP="00913EE8">
      <w:pPr>
        <w:numPr>
          <w:ilvl w:val="0"/>
          <w:numId w:val="9"/>
        </w:numPr>
      </w:pPr>
      <w:r w:rsidRPr="00913EE8">
        <w:t>Staff suitability checks</w:t>
      </w:r>
    </w:p>
    <w:p w14:paraId="63B10AC6" w14:textId="77777777" w:rsidR="00913EE8" w:rsidRPr="00913EE8" w:rsidRDefault="00913EE8" w:rsidP="00913EE8">
      <w:pPr>
        <w:numPr>
          <w:ilvl w:val="0"/>
          <w:numId w:val="9"/>
        </w:numPr>
      </w:pPr>
      <w:r w:rsidRPr="00913EE8">
        <w:t>Disqualification declarations</w:t>
      </w:r>
    </w:p>
    <w:p w14:paraId="19F742D2" w14:textId="77777777" w:rsidR="00913EE8" w:rsidRPr="00913EE8" w:rsidRDefault="00913EE8" w:rsidP="00913EE8">
      <w:pPr>
        <w:numPr>
          <w:ilvl w:val="0"/>
          <w:numId w:val="9"/>
        </w:numPr>
      </w:pPr>
      <w:r w:rsidRPr="00913EE8">
        <w:t>Any correspondence with Ofsted</w:t>
      </w:r>
    </w:p>
    <w:p w14:paraId="3DCB338D" w14:textId="77777777" w:rsidR="00913EE8" w:rsidRPr="00913EE8" w:rsidRDefault="00913EE8" w:rsidP="00913EE8">
      <w:pPr>
        <w:numPr>
          <w:ilvl w:val="0"/>
          <w:numId w:val="9"/>
        </w:numPr>
      </w:pPr>
      <w:r w:rsidRPr="00913EE8">
        <w:t>Any DBS referrals made</w:t>
      </w:r>
    </w:p>
    <w:p w14:paraId="37858A14" w14:textId="77777777" w:rsidR="00913EE8" w:rsidRPr="00913EE8" w:rsidRDefault="00913EE8" w:rsidP="00913EE8">
      <w:r w:rsidRPr="00913EE8">
        <w:t>Records will be stored in line with data protection legislation.</w:t>
      </w:r>
    </w:p>
    <w:p w14:paraId="190F03A6" w14:textId="77777777" w:rsidR="00913EE8" w:rsidRPr="00913EE8" w:rsidRDefault="00913EE8" w:rsidP="00913EE8">
      <w:pPr>
        <w:pStyle w:val="Heading2"/>
      </w:pPr>
      <w:r w:rsidRPr="00913EE8">
        <w:t>11. Review of Policy</w:t>
      </w:r>
    </w:p>
    <w:p w14:paraId="700BBDBC" w14:textId="77777777" w:rsidR="00913EE8" w:rsidRPr="00913EE8" w:rsidRDefault="00913EE8" w:rsidP="00913EE8">
      <w:r w:rsidRPr="00913EE8">
        <w:t>This procedure will be reviewed annually or sooner if legislation or statutory guidance changes.</w:t>
      </w:r>
    </w:p>
    <w:p w14:paraId="43B9F5D4" w14:textId="77777777" w:rsidR="004C0F93" w:rsidRDefault="004C0F93"/>
    <w:sectPr w:rsidR="004C0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64F0D"/>
    <w:multiLevelType w:val="multilevel"/>
    <w:tmpl w:val="B2E8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E0DD7"/>
    <w:multiLevelType w:val="multilevel"/>
    <w:tmpl w:val="467A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93017"/>
    <w:multiLevelType w:val="multilevel"/>
    <w:tmpl w:val="1900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A6E2B"/>
    <w:multiLevelType w:val="multilevel"/>
    <w:tmpl w:val="6D5A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77379"/>
    <w:multiLevelType w:val="multilevel"/>
    <w:tmpl w:val="4DA8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253220"/>
    <w:multiLevelType w:val="multilevel"/>
    <w:tmpl w:val="4B7E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7134A9"/>
    <w:multiLevelType w:val="multilevel"/>
    <w:tmpl w:val="CDCC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3A3A27"/>
    <w:multiLevelType w:val="multilevel"/>
    <w:tmpl w:val="60F2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3C52BB"/>
    <w:multiLevelType w:val="multilevel"/>
    <w:tmpl w:val="28D0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815910">
    <w:abstractNumId w:val="2"/>
  </w:num>
  <w:num w:numId="2" w16cid:durableId="1470241697">
    <w:abstractNumId w:val="5"/>
  </w:num>
  <w:num w:numId="3" w16cid:durableId="1087310543">
    <w:abstractNumId w:val="3"/>
  </w:num>
  <w:num w:numId="4" w16cid:durableId="2089107532">
    <w:abstractNumId w:val="7"/>
  </w:num>
  <w:num w:numId="5" w16cid:durableId="1237862519">
    <w:abstractNumId w:val="8"/>
  </w:num>
  <w:num w:numId="6" w16cid:durableId="80764297">
    <w:abstractNumId w:val="6"/>
  </w:num>
  <w:num w:numId="7" w16cid:durableId="1647667183">
    <w:abstractNumId w:val="1"/>
  </w:num>
  <w:num w:numId="8" w16cid:durableId="1359771046">
    <w:abstractNumId w:val="0"/>
  </w:num>
  <w:num w:numId="9" w16cid:durableId="324819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EE8"/>
    <w:rsid w:val="0045212E"/>
    <w:rsid w:val="004C0F93"/>
    <w:rsid w:val="00913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B706"/>
  <w15:chartTrackingRefBased/>
  <w15:docId w15:val="{2BB377C1-2945-48B8-95DA-24967BC1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3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E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E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E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3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EE8"/>
    <w:rPr>
      <w:rFonts w:eastAsiaTheme="majorEastAsia" w:cstheme="majorBidi"/>
      <w:color w:val="272727" w:themeColor="text1" w:themeTint="D8"/>
    </w:rPr>
  </w:style>
  <w:style w:type="paragraph" w:styleId="Title">
    <w:name w:val="Title"/>
    <w:basedOn w:val="Normal"/>
    <w:next w:val="Normal"/>
    <w:link w:val="TitleChar"/>
    <w:uiPriority w:val="10"/>
    <w:qFormat/>
    <w:rsid w:val="00913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EE8"/>
    <w:pPr>
      <w:spacing w:before="160"/>
      <w:jc w:val="center"/>
    </w:pPr>
    <w:rPr>
      <w:i/>
      <w:iCs/>
      <w:color w:val="404040" w:themeColor="text1" w:themeTint="BF"/>
    </w:rPr>
  </w:style>
  <w:style w:type="character" w:customStyle="1" w:styleId="QuoteChar">
    <w:name w:val="Quote Char"/>
    <w:basedOn w:val="DefaultParagraphFont"/>
    <w:link w:val="Quote"/>
    <w:uiPriority w:val="29"/>
    <w:rsid w:val="00913EE8"/>
    <w:rPr>
      <w:i/>
      <w:iCs/>
      <w:color w:val="404040" w:themeColor="text1" w:themeTint="BF"/>
    </w:rPr>
  </w:style>
  <w:style w:type="paragraph" w:styleId="ListParagraph">
    <w:name w:val="List Paragraph"/>
    <w:basedOn w:val="Normal"/>
    <w:uiPriority w:val="34"/>
    <w:qFormat/>
    <w:rsid w:val="00913EE8"/>
    <w:pPr>
      <w:ind w:left="720"/>
      <w:contextualSpacing/>
    </w:pPr>
  </w:style>
  <w:style w:type="character" w:styleId="IntenseEmphasis">
    <w:name w:val="Intense Emphasis"/>
    <w:basedOn w:val="DefaultParagraphFont"/>
    <w:uiPriority w:val="21"/>
    <w:qFormat/>
    <w:rsid w:val="00913EE8"/>
    <w:rPr>
      <w:i/>
      <w:iCs/>
      <w:color w:val="0F4761" w:themeColor="accent1" w:themeShade="BF"/>
    </w:rPr>
  </w:style>
  <w:style w:type="paragraph" w:styleId="IntenseQuote">
    <w:name w:val="Intense Quote"/>
    <w:basedOn w:val="Normal"/>
    <w:next w:val="Normal"/>
    <w:link w:val="IntenseQuoteChar"/>
    <w:uiPriority w:val="30"/>
    <w:qFormat/>
    <w:rsid w:val="00913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EE8"/>
    <w:rPr>
      <w:i/>
      <w:iCs/>
      <w:color w:val="0F4761" w:themeColor="accent1" w:themeShade="BF"/>
    </w:rPr>
  </w:style>
  <w:style w:type="character" w:styleId="IntenseReference">
    <w:name w:val="Intense Reference"/>
    <w:basedOn w:val="DefaultParagraphFont"/>
    <w:uiPriority w:val="32"/>
    <w:qFormat/>
    <w:rsid w:val="00913E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6322FFA7-B1F7-4DC0-882C-6B0F7FD95929}"/>
</file>

<file path=customXml/itemProps2.xml><?xml version="1.0" encoding="utf-8"?>
<ds:datastoreItem xmlns:ds="http://schemas.openxmlformats.org/officeDocument/2006/customXml" ds:itemID="{169E7A0A-49F3-4058-BC69-C0A6739FEA8B}"/>
</file>

<file path=customXml/itemProps3.xml><?xml version="1.0" encoding="utf-8"?>
<ds:datastoreItem xmlns:ds="http://schemas.openxmlformats.org/officeDocument/2006/customXml" ds:itemID="{FFDE752D-D8D8-4415-B656-AACE0C638FD3}"/>
</file>

<file path=docProps/app.xml><?xml version="1.0" encoding="utf-8"?>
<Properties xmlns="http://schemas.openxmlformats.org/officeDocument/2006/extended-properties" xmlns:vt="http://schemas.openxmlformats.org/officeDocument/2006/docPropsVTypes">
  <Template>Normal</Template>
  <TotalTime>3</TotalTime>
  <Pages>3</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Evans</dc:creator>
  <cp:keywords/>
  <dc:description/>
  <cp:lastModifiedBy>Amy Evans</cp:lastModifiedBy>
  <cp:revision>1</cp:revision>
  <dcterms:created xsi:type="dcterms:W3CDTF">2026-02-02T10:50:00Z</dcterms:created>
  <dcterms:modified xsi:type="dcterms:W3CDTF">2026-02-02T10:53:00Z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ies>
</file>